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04102">
      <w:pPr>
        <w:spacing w:line="420" w:lineRule="exact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368AAFC9">
      <w:pPr>
        <w:spacing w:line="420" w:lineRule="exact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沉淀溶解平衡</w:t>
      </w:r>
    </w:p>
    <w:p w14:paraId="0186857E">
      <w:pPr>
        <w:spacing w:line="420" w:lineRule="exact"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课时1淀溶解平衡及其应用</w:t>
      </w:r>
    </w:p>
    <w:p w14:paraId="20BBF39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57C9FE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</w:t>
      </w:r>
      <w:r>
        <w:rPr>
          <w:rFonts w:hint="eastAsia" w:ascii="Times New Roman" w:hAnsi="Times New Roman" w:eastAsia="宋体" w:cs="Times New Roman"/>
          <w:b/>
          <w:bCs/>
          <w:sz w:val="22"/>
        </w:rPr>
        <w:t>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</w:t>
      </w:r>
    </w:p>
    <w:p w14:paraId="790F412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1．含义：在一定温度下，当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速率相等时所达到的平衡状态，称为沉淀溶解平衡。</w:t>
      </w:r>
    </w:p>
    <w:p w14:paraId="5943BB21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2．建立：</w:t>
      </w:r>
    </w:p>
    <w:p w14:paraId="166EB6EF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1661795" cy="1142365"/>
            <wp:effectExtent l="0" t="0" r="146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CAF6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40" o:spid="_x0000_s2055" o:spt="20" style="position:absolute;left:0pt;margin-left:147.15pt;margin-top:19.2pt;height:0pt;width:161pt;z-index:251662336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以AgCl溶解平衡为例，表达式：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                  </w:t>
      </w:r>
    </w:p>
    <w:p w14:paraId="54923F03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3．特征：</w:t>
      </w:r>
    </w:p>
    <w:p w14:paraId="09883733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\x(动)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—动态平衡，溶解的速率和沉淀的速率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_ </w:t>
      </w:r>
    </w:p>
    <w:p w14:paraId="49BA6297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—溶解速率和沉淀速率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___________</w:t>
      </w:r>
    </w:p>
    <w:p w14:paraId="0E650424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\x(定)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—达到平衡时，固体质量、溶液中离子的浓度</w:t>
      </w:r>
      <w:r>
        <w:rPr>
          <w:rFonts w:hint="eastAsia" w:ascii="Times New Roman" w:hAnsi="Times New Roman" w:eastAsia="宋体" w:cs="Times New Roman"/>
          <w:szCs w:val="21"/>
          <w:u w:val="thick"/>
        </w:rPr>
        <w:t>____________</w:t>
      </w:r>
    </w:p>
    <w:p w14:paraId="545C7EE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\x(变)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</w:t>
      </w:r>
      <w:r>
        <w:rPr>
          <w:rFonts w:hint="eastAsia" w:ascii="Times New Roman" w:hAnsi="Times New Roman" w:eastAsia="宋体" w:cs="Times New Roman"/>
          <w:szCs w:val="21"/>
        </w:rPr>
        <w:t>当改变外界条件时，溶解平衡将</w:t>
      </w:r>
      <w:r>
        <w:rPr>
          <w:rFonts w:hint="eastAsia" w:ascii="Times New Roman" w:hAnsi="Times New Roman" w:eastAsia="宋体" w:cs="Times New Roman"/>
          <w:szCs w:val="21"/>
          <w:u w:val="thick"/>
        </w:rPr>
        <w:t>__________</w:t>
      </w:r>
      <w:r>
        <w:rPr>
          <w:rFonts w:hint="eastAsia" w:ascii="Times New Roman" w:hAnsi="Times New Roman" w:eastAsia="宋体" w:cs="Times New Roman"/>
          <w:szCs w:val="21"/>
        </w:rPr>
        <w:t>，达到新的平衡</w:t>
      </w:r>
    </w:p>
    <w:p w14:paraId="7B7DCCCB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4．沉淀溶解平衡的移动</w:t>
      </w:r>
    </w:p>
    <w:p w14:paraId="24267644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114300" distR="114300">
            <wp:extent cx="281305" cy="312420"/>
            <wp:effectExtent l="0" t="0" r="4445" b="1143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t>溶液中的溶质</w:t>
      </w:r>
    </w:p>
    <w:p w14:paraId="7293E58B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固体物质的溶解是可逆过程：(1)v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&gt;v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固体溶解</w:t>
      </w:r>
    </w:p>
    <w:p w14:paraId="2ED9F358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＝v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溶解平衡</w:t>
      </w:r>
    </w:p>
    <w:p w14:paraId="7A593588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(3)v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&lt;v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析出晶体</w:t>
      </w:r>
    </w:p>
    <w:p w14:paraId="4B6795F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5．生成难溶电解质的离子反应的限度：</w:t>
      </w:r>
    </w:p>
    <w:p w14:paraId="5FF0425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(1)25 ℃时，溶解性与溶解度的关系。</w:t>
      </w:r>
    </w:p>
    <w:p w14:paraId="1F2E3D94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576955" cy="518160"/>
            <wp:effectExtent l="0" t="0" r="4445" b="1524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D2A2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(2)反应完全的标志。</w:t>
      </w:r>
    </w:p>
    <w:p w14:paraId="4A47471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一般情况下，当溶液中剩余离子的浓度小于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</w:t>
      </w:r>
      <w:r>
        <w:rPr>
          <w:rFonts w:ascii="Times New Roman" w:hAnsi="Times New Roman" w:eastAsia="宋体" w:cs="Times New Roman"/>
          <w:szCs w:val="21"/>
        </w:rPr>
        <w:t>时，反应就达到完全。</w:t>
      </w:r>
    </w:p>
    <w:p w14:paraId="2B7F92F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沉淀溶解平衡的应用</w:t>
      </w:r>
    </w:p>
    <w:p w14:paraId="5836553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沉淀的生成</w:t>
      </w:r>
    </w:p>
    <w:p w14:paraId="376F008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调节pH法</w:t>
      </w:r>
    </w:p>
    <w:p w14:paraId="38734E8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如：除去NH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液中的FeCl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杂质，可加入氨水调节pH至7～8，离子方程式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</w:p>
    <w:p w14:paraId="3A992A1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 xml:space="preserve">           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0F0E7B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沉淀剂法</w:t>
      </w:r>
    </w:p>
    <w:p w14:paraId="54F6EB4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如：用H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S沉淀Cu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 xml:space="preserve">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FAD677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沉淀的溶解</w:t>
      </w:r>
    </w:p>
    <w:p w14:paraId="5A6774E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酸溶解法</w:t>
      </w:r>
    </w:p>
    <w:p w14:paraId="4DFBD97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溶于盐酸，离子方程式为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 xml:space="preserve">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1D2A27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盐溶液溶解法</w:t>
      </w:r>
    </w:p>
    <w:p w14:paraId="18B083B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溶于NH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 xml:space="preserve"> 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6B9789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氧化还原溶解法</w:t>
      </w:r>
    </w:p>
    <w:p w14:paraId="5455124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如：不溶于盐酸的硫化物Ag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S溶于稀HNO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EAAEF3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沉淀的转化</w:t>
      </w:r>
    </w:p>
    <w:p w14:paraId="5EA78DA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实质：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 xml:space="preserve">                           </w:t>
      </w:r>
      <w:r>
        <w:rPr>
          <w:rFonts w:ascii="Times New Roman" w:hAnsi="Times New Roman" w:eastAsia="宋体" w:cs="Times New Roman"/>
          <w:szCs w:val="21"/>
        </w:rPr>
        <w:t>的移动(沉淀的溶解度差别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，越容易转化)。</w:t>
      </w:r>
    </w:p>
    <w:p w14:paraId="5CF34CB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NaCl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AgCl(白色沉淀)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NaBr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AgBr(浅黄色沉淀)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NaI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AgI(黄色沉淀)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</w:instrText>
      </w:r>
      <w:r>
        <w:rPr>
          <w:rFonts w:ascii="Times New Roman" w:hAnsi="Times New Roman" w:eastAsia="宋体" w:cs="Times New Roman"/>
          <w:sz w:val="15"/>
          <w:szCs w:val="21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S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S(黑色沉淀)。</w:t>
      </w:r>
    </w:p>
    <w:p w14:paraId="7CD2CFA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应用</w:t>
      </w:r>
    </w:p>
    <w:p w14:paraId="3E7575AA">
      <w:pPr>
        <w:pStyle w:val="30"/>
        <w:numPr>
          <w:ilvl w:val="0"/>
          <w:numId w:val="1"/>
        </w:num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39" o:spid="_x0000_s2054" o:spt="20" style="position:absolute;left:0pt;margin-left:1.1pt;margin-top:37.35pt;height:0pt;width:55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pict>
          <v:line id="直接连接符 37" o:spid="_x0000_s2053" o:spt="20" style="position:absolute;left:0pt;flip:y;margin-left:310.1pt;margin-top:15.35pt;height:0.5pt;width:159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锅炉除垢：将CaSO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转化为易溶于酸的CaCO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</w:p>
    <w:p w14:paraId="3B2FCA8F">
      <w:pPr>
        <w:pStyle w:val="30"/>
        <w:snapToGrid w:val="0"/>
        <w:spacing w:line="360" w:lineRule="auto"/>
        <w:ind w:left="36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37A9496">
      <w:pPr>
        <w:snapToGrid w:val="0"/>
        <w:spacing w:line="360" w:lineRule="auto"/>
        <w:rPr>
          <w:rFonts w:ascii="Times New Roman" w:hAnsi="Times New Roman" w:eastAsia="宋体" w:cs="Times New Roman"/>
          <w:b/>
          <w:bCs/>
          <w:color w:val="91ABDF"/>
          <w:sz w:val="24"/>
          <w:szCs w:val="24"/>
          <w:u w:val="thick"/>
        </w:rPr>
      </w:pPr>
      <w:r>
        <w:rPr>
          <w:rFonts w:ascii="Times New Roman" w:hAnsi="Times New Roman" w:eastAsia="宋体" w:cs="Times New Roman"/>
          <w:szCs w:val="21"/>
        </w:rPr>
        <w:t>b．矿物转化：CuSO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溶液遇PbS转化为CuS，离子方程式为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color w:val="91ABDF"/>
          <w:szCs w:val="21"/>
          <w:u w:val="thick"/>
        </w:rPr>
        <w:t xml:space="preserve">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00A300A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085CEF6C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</w:t>
      </w:r>
      <w:r>
        <w:rPr>
          <w:rFonts w:ascii="Times New Roman" w:hAnsi="Times New Roman" w:eastAsia="宋体" w:cs="Times New Roman"/>
          <w:szCs w:val="21"/>
        </w:rPr>
        <w:t xml:space="preserve">升高温度，沉淀溶解平衡一定正向移动   (  </w:t>
      </w:r>
      <w:r>
        <w:rPr>
          <w:rFonts w:ascii="Times New Roman" w:hAnsi="Times New Roman" w:eastAsia="宋体" w:cs="Times New Roman"/>
          <w:color w:val="91ABDF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7059B329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szCs w:val="21"/>
        </w:rPr>
        <w:t>洗涤沉淀时，洗涤次数越多越好。    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C3B28B0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）向AgCl沉淀中加入NaCl固体，AgCl沉淀的溶解度不变   ( 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494C2A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（4）</w:t>
      </w:r>
      <w:r>
        <w:rPr>
          <w:rFonts w:ascii="Times New Roman" w:hAnsi="Times New Roman" w:eastAsia="宋体" w:cs="Times New Roman"/>
          <w:szCs w:val="21"/>
        </w:rPr>
        <w:t>除去MgCl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溶液中的Fe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,先加入双氧水,再加入MgO即可。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9FD3F6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沉淀的转化只能由难溶的转化为更难溶的。(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37693C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（6）</w:t>
      </w:r>
      <w:r>
        <w:rPr>
          <w:rFonts w:ascii="Times New Roman" w:hAnsi="Times New Roman" w:eastAsia="宋体" w:cs="Times New Roman"/>
          <w:szCs w:val="21"/>
        </w:rPr>
        <w:t>溶解度小的沉淀不能转化为溶解度比其大的沉淀。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7113EE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（7）</w:t>
      </w:r>
      <w:r>
        <w:rPr>
          <w:rFonts w:ascii="Times New Roman" w:hAnsi="Times New Roman" w:eastAsia="宋体" w:cs="Times New Roman"/>
          <w:szCs w:val="21"/>
        </w:rPr>
        <w:t>可用FeS除去废水中的Hg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、Ag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等,是因为HgS、Ag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S比FeS更难溶。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BA7AB9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（8）</w:t>
      </w:r>
      <w:r>
        <w:rPr>
          <w:rFonts w:ascii="Times New Roman" w:hAnsi="Times New Roman" w:eastAsia="宋体" w:cs="Times New Roman"/>
          <w:szCs w:val="21"/>
        </w:rPr>
        <w:t>验证Fe(OH)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的溶解度小于Mg(OH)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,可将FeCl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溶液加入Mg(OH)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悬浊液中,振荡,可观察到沉淀由白色变为红褐色。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BD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A6EA11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</w:p>
    <w:p w14:paraId="4127A688">
      <w:pPr>
        <w:rPr>
          <w:rFonts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C2C7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8BBB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3DF31F98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1" name="图片 1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A76B4"/>
    <w:multiLevelType w:val="multilevel"/>
    <w:tmpl w:val="02EA76B4"/>
    <w:lvl w:ilvl="0" w:tentative="0">
      <w:start w:val="1"/>
      <w:numFmt w:val="lowerLetter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F18D7"/>
    <w:rsid w:val="00053FEB"/>
    <w:rsid w:val="000D6B2A"/>
    <w:rsid w:val="00155F19"/>
    <w:rsid w:val="00156DAB"/>
    <w:rsid w:val="003005F2"/>
    <w:rsid w:val="007E24E9"/>
    <w:rsid w:val="00947136"/>
    <w:rsid w:val="009F18D7"/>
    <w:rsid w:val="00A60E9E"/>
    <w:rsid w:val="00A65F3E"/>
    <w:rsid w:val="00A973C2"/>
    <w:rsid w:val="00A9793F"/>
    <w:rsid w:val="00B214F7"/>
    <w:rsid w:val="00CB5554"/>
    <w:rsid w:val="00CF3B29"/>
    <w:rsid w:val="06EF63E8"/>
    <w:rsid w:val="29987936"/>
    <w:rsid w:val="6513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5"/>
    <customShpInfo spid="_x0000_s2054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1020</Characters>
  <Lines>45</Lines>
  <Paragraphs>42</Paragraphs>
  <TotalTime>0</TotalTime>
  <ScaleCrop>false</ScaleCrop>
  <LinksUpToDate>false</LinksUpToDate>
  <CharactersWithSpaces>1572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2025-04-02T01:50:00Z</dcterms:created>
  <dc:creator>1224348813@qq.com</dc:creator>
  <cp:lastModifiedBy>刘岩</cp:lastModifiedBy>
  <dcterms:modified xsi:type="dcterms:W3CDTF">2026-03-20T02:02:06Z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C7285F72A4154E6A9E27C8D7007B65AE_12</vt:lpwstr>
  </property>
</Properties>
</file>